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AA" w:rsidRDefault="00DD4EAA" w:rsidP="00DD4EAA">
      <w:pPr>
        <w:shd w:val="clear" w:color="auto" w:fill="FFFFFF"/>
        <w:spacing w:before="75" w:after="0" w:line="240" w:lineRule="auto"/>
        <w:jc w:val="both"/>
        <w:outlineLvl w:val="5"/>
        <w:rPr>
          <w:rFonts w:ascii="Arial" w:eastAsia="Times New Roman" w:hAnsi="Arial" w:cs="Arial"/>
          <w:b/>
          <w:bCs/>
          <w:color w:val="0269A1"/>
          <w:sz w:val="23"/>
          <w:szCs w:val="23"/>
          <w:lang w:eastAsia="hr-HR"/>
        </w:rPr>
      </w:pPr>
      <w:r w:rsidRPr="00DD4EAA">
        <w:rPr>
          <w:rFonts w:ascii="Arial" w:eastAsia="Times New Roman" w:hAnsi="Arial" w:cs="Arial"/>
          <w:b/>
          <w:bCs/>
          <w:color w:val="0269A1"/>
          <w:sz w:val="23"/>
          <w:szCs w:val="23"/>
          <w:lang w:eastAsia="hr-HR"/>
        </w:rPr>
        <w:t>Zakon o pravu na pristup informacijama, Glava VI</w:t>
      </w:r>
    </w:p>
    <w:p w:rsidR="00DD4EAA" w:rsidRPr="00DD4EAA" w:rsidRDefault="00DD4EAA" w:rsidP="00DD4EAA">
      <w:pPr>
        <w:shd w:val="clear" w:color="auto" w:fill="FFFFFF"/>
        <w:spacing w:before="75" w:after="0" w:line="240" w:lineRule="auto"/>
        <w:jc w:val="both"/>
        <w:outlineLvl w:val="5"/>
        <w:rPr>
          <w:rFonts w:ascii="Arial" w:eastAsia="Times New Roman" w:hAnsi="Arial" w:cs="Arial"/>
          <w:b/>
          <w:bCs/>
          <w:color w:val="0269A1"/>
          <w:sz w:val="23"/>
          <w:szCs w:val="23"/>
          <w:lang w:eastAsia="hr-HR"/>
        </w:rPr>
      </w:pPr>
      <w:bookmarkStart w:id="0" w:name="_GoBack"/>
      <w:bookmarkEnd w:id="0"/>
    </w:p>
    <w:p w:rsidR="00DD4EAA" w:rsidRPr="00DD4EAA" w:rsidRDefault="00DD4EAA" w:rsidP="00DD4EAA">
      <w:pPr>
        <w:shd w:val="clear" w:color="auto" w:fill="FFFFFF"/>
        <w:spacing w:before="100" w:beforeAutospacing="1" w:after="0" w:afterAutospacing="1" w:line="240" w:lineRule="atLeast"/>
        <w:jc w:val="both"/>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VI. PONOVNA UPORABA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Pravo na ponovnu uporabu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27.</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(1) Svaki korisnik ima pravo na ponovnu uporabu informacija u komercijalne ili nekomercijalne svrhe, u skladu s odredbama ovoga Zakona.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Na pitanja koja nisu posebno uređena ovom glavom primjenjuju se na odgovarajući način ostale odredbe ovoga Zakona.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Praktična rješenja za ponovnu uporabu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28.</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 xml:space="preserve">(1) U svrhu poticanja i olakšavanja ponovne uporabe informacija tijela javne vlasti dužna su na lako </w:t>
      </w:r>
      <w:proofErr w:type="spellStart"/>
      <w:r w:rsidRPr="00DD4EAA">
        <w:rPr>
          <w:rFonts w:ascii="Arial" w:eastAsia="Times New Roman" w:hAnsi="Arial" w:cs="Arial"/>
          <w:color w:val="000000"/>
          <w:sz w:val="20"/>
          <w:szCs w:val="20"/>
          <w:lang w:eastAsia="hr-HR"/>
        </w:rPr>
        <w:t>pretraživ</w:t>
      </w:r>
      <w:proofErr w:type="spellEnd"/>
      <w:r w:rsidRPr="00DD4EAA">
        <w:rPr>
          <w:rFonts w:ascii="Arial" w:eastAsia="Times New Roman" w:hAnsi="Arial" w:cs="Arial"/>
          <w:color w:val="000000"/>
          <w:sz w:val="20"/>
          <w:szCs w:val="20"/>
          <w:lang w:eastAsia="hr-HR"/>
        </w:rPr>
        <w:t xml:space="preserve"> način objaviti informacije dostupne za ponovnu uporabu, zajedno s </w:t>
      </w:r>
      <w:proofErr w:type="spellStart"/>
      <w:r w:rsidRPr="00DD4EAA">
        <w:rPr>
          <w:rFonts w:ascii="Arial" w:eastAsia="Times New Roman" w:hAnsi="Arial" w:cs="Arial"/>
          <w:color w:val="000000"/>
          <w:sz w:val="20"/>
          <w:szCs w:val="20"/>
          <w:lang w:eastAsia="hr-HR"/>
        </w:rPr>
        <w:t>metapodacima</w:t>
      </w:r>
      <w:proofErr w:type="spellEnd"/>
      <w:r w:rsidRPr="00DD4EAA">
        <w:rPr>
          <w:rFonts w:ascii="Arial" w:eastAsia="Times New Roman" w:hAnsi="Arial" w:cs="Arial"/>
          <w:color w:val="000000"/>
          <w:sz w:val="20"/>
          <w:szCs w:val="20"/>
          <w:lang w:eastAsia="hr-HR"/>
        </w:rPr>
        <w:t>, u strojno čitljivom i otvorenom obliku, u skladu s otvorenim standardima.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DD4EAA">
        <w:rPr>
          <w:rFonts w:ascii="Arial" w:eastAsia="Times New Roman" w:hAnsi="Arial" w:cs="Arial"/>
          <w:color w:val="000000"/>
          <w:sz w:val="20"/>
          <w:szCs w:val="20"/>
          <w:lang w:eastAsia="hr-HR"/>
        </w:rPr>
        <w:t>metapodacima</w:t>
      </w:r>
      <w:proofErr w:type="spellEnd"/>
      <w:r w:rsidRPr="00DD4EAA">
        <w:rPr>
          <w:rFonts w:ascii="Arial" w:eastAsia="Times New Roman" w:hAnsi="Arial" w:cs="Arial"/>
          <w:color w:val="000000"/>
          <w:sz w:val="20"/>
          <w:szCs w:val="20"/>
          <w:lang w:eastAsia="hr-HR"/>
        </w:rPr>
        <w:t>, koji su objavljeni u skladu sa stavkom 1. ovoga članka.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Odredba stavka 2. ovoga članka ne isključuje uspostavljanje i održavanje posebnih portala kojima se omogućava ponovna uporaba posebnih vrsta informacija, osobito kada se radi o knjižnicama, muzejima i arhivima.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 xml:space="preserve">(5) Kada je to moguće i prikladno, omogućit će se </w:t>
      </w:r>
      <w:proofErr w:type="spellStart"/>
      <w:r w:rsidRPr="00DD4EAA">
        <w:rPr>
          <w:rFonts w:ascii="Arial" w:eastAsia="Times New Roman" w:hAnsi="Arial" w:cs="Arial"/>
          <w:color w:val="000000"/>
          <w:sz w:val="20"/>
          <w:szCs w:val="20"/>
          <w:lang w:eastAsia="hr-HR"/>
        </w:rPr>
        <w:t>međujezično</w:t>
      </w:r>
      <w:proofErr w:type="spellEnd"/>
      <w:r w:rsidRPr="00DD4EAA">
        <w:rPr>
          <w:rFonts w:ascii="Arial" w:eastAsia="Times New Roman" w:hAnsi="Arial" w:cs="Arial"/>
          <w:color w:val="000000"/>
          <w:sz w:val="20"/>
          <w:szCs w:val="20"/>
          <w:lang w:eastAsia="hr-HR"/>
        </w:rPr>
        <w:t xml:space="preserve"> traženje dokumenata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Zahtjev za ponovnu uporabu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29.</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lastRenderedPageBreak/>
        <w:t>(3) Tijelo javne vlasti postupat će po zahtjevu za ponovnu uporabu informacija putem sredstava elektroničke komunikacije, kad god je to moguće i prikladno</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30.</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(1) Tijelo javne vlasti rješenjem će odbiti zahtjev za ponovnu uporabu informacija ako se zahtjev odnosi na:</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iz članka 15. stavaka 1., 2., 3. i 4. ovoga Zakona,</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povjerljive statističke informacije, sukladno zakonu,</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za koje korisnik treba dokazati postojanje pravnog interesa,</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dijelove informacije koji sadrže samo logotipe, grbove ili oznake,</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koje su u posjedu tijela koja pružaju javne usluge radija, televizije i elektroničkih medija,</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koje su u posjedu obrazovnih i znanstvenoistraživačkih ustanova, uključujući organizacije osnovane u svrhu prijenosa rezultata istraživanja, škole i ustanove visokog obrazovanja, osim knjižnica ustanova visokog obrazovanja,</w:t>
      </w:r>
    </w:p>
    <w:p w:rsidR="00DD4EAA" w:rsidRPr="00DD4EAA" w:rsidRDefault="00DD4EAA" w:rsidP="00DD4EAA">
      <w:pPr>
        <w:numPr>
          <w:ilvl w:val="0"/>
          <w:numId w:val="1"/>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koje posjeduju ustanove u kulturi, osim knjižnica, muzeja i arhiva,</w:t>
      </w:r>
    </w:p>
    <w:p w:rsidR="00DD4EAA" w:rsidRPr="00DD4EAA" w:rsidRDefault="00DD4EAA" w:rsidP="00DD4EAA">
      <w:pPr>
        <w:numPr>
          <w:ilvl w:val="0"/>
          <w:numId w:val="1"/>
        </w:numPr>
        <w:shd w:val="clear" w:color="auto" w:fill="FFFFFF"/>
        <w:spacing w:before="100" w:beforeAutospacing="1" w:after="0"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informacije koje se ne prikupljaju u svrhu obavljanja javnog posla.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Uvjeti za ponovnu uporabu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31.</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(1) Tijelo javne vlasti korisniku daje podatke za ponovnu uporabu bez ograničenja, za slobodnu uporabu i u otvorenom formatu.</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Uvjeti za ponovnu uporabu informacija ne smiju biti diskriminirajući za iste ili slične vrste informacija, odnosno za komercijalnu ili nekomercijalnu uporabu.</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(4) Na tijelo javne vlasti koje ponovno koristi svoje informacije kao osnovu za komercijalne aktivnosti koje ne spadaju u djelokrug njegovih javnih poslova primjenjuju se isti uvjeti kao za druge korisnike.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(5) Vrste i sadržaj dozvola kojima se utvrđuju uvjeti ponovne uporabe, u skladu sa standardnim otvorenim dozvolama, pravilnikom uređuje ministar nadležan za poslove uprave.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(6)  Tijelo javne vlasti dužno je na svojoj internetskoj stranici objaviti dozvole kojima se određuju uvjeti ponovne uporabe ili poveznice na takve dozvole, u skladu sa standardnim otvorenim dozvolama.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Naknada za ponovnu uporabu informacija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32.</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lastRenderedPageBreak/>
        <w:t>(1) Tijelo javne vlasti ne naplaćuje naknadu za ponovnu uporabu informacija kad informacije objavljuje na službenim internetskim stranicama.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Tijelo javne vlasti može korisniku naplatiti stvarne materijalne troškove ponovne uporabe informacija nastale zbog reprodukcije, davanja na uporabu i dostave informacija, u skladu s kriterijima iz članka 19. stavka 3. ovoga Zakona.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Iznimno, tijelo javne vlasti može korisniku naplatiti troškove uz troškove iz stavka 2. ovoga članka ako je ispunjen jedan od sljedećih uvjeta:</w:t>
      </w:r>
    </w:p>
    <w:p w:rsidR="00DD4EAA" w:rsidRPr="00DD4EAA" w:rsidRDefault="00DD4EAA" w:rsidP="00DD4EAA">
      <w:pPr>
        <w:numPr>
          <w:ilvl w:val="0"/>
          <w:numId w:val="2"/>
        </w:num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tijelo javne vlasti pretežito se financira iz vlastitih prihoda ili</w:t>
      </w:r>
    </w:p>
    <w:p w:rsidR="00DD4EAA" w:rsidRPr="00DD4EAA" w:rsidRDefault="00DD4EAA" w:rsidP="00DD4EAA">
      <w:pPr>
        <w:numPr>
          <w:ilvl w:val="0"/>
          <w:numId w:val="2"/>
        </w:numPr>
        <w:shd w:val="clear" w:color="auto" w:fill="FFFFFF"/>
        <w:spacing w:before="100" w:beforeAutospacing="1" w:after="0"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korisnik zahtijeva informacije kojima tijelo javne vlasti osigurava odgovarajuće prihode kojim pokriva troškove njihova prikupljanja, izrade, reprodukcije i objave.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Naknada za ponovnu uporabu informacija knjižnica, muzeja i arhiva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33.</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i/>
          <w:iCs/>
          <w:color w:val="000000"/>
          <w:sz w:val="20"/>
          <w:szCs w:val="20"/>
          <w:lang w:eastAsia="hr-HR"/>
        </w:rPr>
        <w:t>Zabrana diskriminacije i isključiva prava</w:t>
      </w:r>
    </w:p>
    <w:p w:rsidR="00DD4EAA" w:rsidRPr="00DD4EAA" w:rsidRDefault="00DD4EAA" w:rsidP="00DD4EAA">
      <w:pPr>
        <w:shd w:val="clear" w:color="auto" w:fill="FFFFFF"/>
        <w:spacing w:before="100" w:beforeAutospacing="1" w:after="0" w:afterAutospacing="1" w:line="240" w:lineRule="atLeast"/>
        <w:jc w:val="center"/>
        <w:rPr>
          <w:rFonts w:ascii="Arial" w:eastAsia="Times New Roman" w:hAnsi="Arial" w:cs="Arial"/>
          <w:color w:val="000000"/>
          <w:sz w:val="20"/>
          <w:szCs w:val="20"/>
          <w:lang w:eastAsia="hr-HR"/>
        </w:rPr>
      </w:pPr>
      <w:r w:rsidRPr="00DD4EAA">
        <w:rPr>
          <w:rFonts w:ascii="Arial" w:eastAsia="Times New Roman" w:hAnsi="Arial" w:cs="Arial"/>
          <w:b/>
          <w:bCs/>
          <w:color w:val="000000"/>
          <w:sz w:val="20"/>
          <w:szCs w:val="20"/>
          <w:lang w:eastAsia="hr-HR"/>
        </w:rPr>
        <w:t>Članak 34.</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 xml:space="preserve">(1)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w:t>
      </w:r>
      <w:r w:rsidRPr="00DD4EAA">
        <w:rPr>
          <w:rFonts w:ascii="Arial" w:eastAsia="Times New Roman" w:hAnsi="Arial" w:cs="Arial"/>
          <w:color w:val="000000"/>
          <w:sz w:val="20"/>
          <w:szCs w:val="20"/>
          <w:lang w:eastAsia="hr-HR"/>
        </w:rPr>
        <w:lastRenderedPageBreak/>
        <w:t>odobriti podnositelju zahtjeva takvu ponovnu uporabu informacija koja bi spriječila ponovnu uporabu tih informacija od strane drugih korisnika.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(6) Važeći ugovori i odluke o isključivim pravima, osim ako se odnose na digitalizaciju informacija u području kulture, moraju se objaviti na internetskim stranicama tijela javne vlasti po stupanju na snagu ovoga Zakona.</w:t>
      </w:r>
    </w:p>
    <w:p w:rsidR="00DD4EAA" w:rsidRPr="00DD4EAA" w:rsidRDefault="00DD4EAA" w:rsidP="00DD4EAA">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DD4EAA">
        <w:rPr>
          <w:rFonts w:ascii="Arial" w:eastAsia="Times New Roman" w:hAnsi="Arial" w:cs="Arial"/>
          <w:color w:val="000000"/>
          <w:sz w:val="20"/>
          <w:szCs w:val="20"/>
          <w:lang w:eastAsia="hr-HR"/>
        </w:rPr>
        <w:t>(7) Sadržaj i način vođenja evidencije isključivih prava za ponovnu uporabu iz stavka 4. ovoga članka propisat će pravilnikom ministar nadležan za poslove uprave.</w:t>
      </w:r>
    </w:p>
    <w:p w:rsidR="009406FC" w:rsidRDefault="009406FC"/>
    <w:sectPr w:rsidR="0094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C5B"/>
    <w:multiLevelType w:val="multilevel"/>
    <w:tmpl w:val="49C4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B5DF6"/>
    <w:multiLevelType w:val="multilevel"/>
    <w:tmpl w:val="F958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AA"/>
    <w:rsid w:val="009406FC"/>
    <w:rsid w:val="00DD4E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dc:creator>
  <cp:lastModifiedBy>Snjeza</cp:lastModifiedBy>
  <cp:revision>1</cp:revision>
  <dcterms:created xsi:type="dcterms:W3CDTF">2016-02-03T11:54:00Z</dcterms:created>
  <dcterms:modified xsi:type="dcterms:W3CDTF">2016-02-03T11:55:00Z</dcterms:modified>
</cp:coreProperties>
</file>